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E1" w:rsidRDefault="00E713E1" w:rsidP="00E713E1">
      <w:pPr>
        <w:spacing w:after="0" w:line="240" w:lineRule="auto"/>
        <w:rPr>
          <w:rFonts w:ascii="Tahoma" w:hAnsi="Tahoma" w:cs="Tahoma"/>
          <w:color w:val="000000"/>
          <w:sz w:val="20"/>
          <w:szCs w:val="20"/>
          <w:shd w:val="clear" w:color="auto" w:fill="FFFFFF"/>
        </w:rPr>
      </w:pPr>
      <w:r>
        <w:rPr>
          <w:rStyle w:val="Siln"/>
          <w:rFonts w:ascii="Tahoma" w:hAnsi="Tahoma" w:cs="Tahoma"/>
          <w:color w:val="000000"/>
          <w:sz w:val="20"/>
          <w:szCs w:val="20"/>
          <w:u w:val="single"/>
          <w:shd w:val="clear" w:color="auto" w:fill="FFFFFF"/>
        </w:rPr>
        <w:t>OBCHODNÉ BANKY</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Pr>
          <w:rStyle w:val="Siln"/>
          <w:rFonts w:ascii="Tahoma" w:hAnsi="Tahoma" w:cs="Tahoma"/>
          <w:color w:val="000000"/>
          <w:sz w:val="20"/>
          <w:szCs w:val="20"/>
          <w:shd w:val="clear" w:color="auto" w:fill="FFFFFF"/>
        </w:rPr>
        <w:t>Banka</w:t>
      </w:r>
      <w:r>
        <w:rPr>
          <w:rFonts w:ascii="Tahoma" w:hAnsi="Tahoma" w:cs="Tahoma"/>
          <w:color w:val="000000"/>
          <w:sz w:val="20"/>
          <w:szCs w:val="20"/>
          <w:shd w:val="clear" w:color="auto" w:fill="FFFFFF"/>
        </w:rPr>
        <w:t> – je právnická osoba (PO) založená ako akciová spoločnosť (a. s.)</w:t>
      </w:r>
    </w:p>
    <w:p w:rsidR="00E713E1" w:rsidRDefault="00E713E1" w:rsidP="00E713E1">
      <w:pPr>
        <w:spacing w:after="0" w:line="240" w:lineRule="auto"/>
        <w:rPr>
          <w:rStyle w:val="Siln"/>
          <w:rFonts w:ascii="Tahoma" w:hAnsi="Tahoma" w:cs="Tahoma"/>
          <w:color w:val="000000"/>
          <w:sz w:val="20"/>
          <w:szCs w:val="20"/>
          <w:u w:val="single"/>
          <w:shd w:val="clear" w:color="auto" w:fill="FFFFFF"/>
        </w:rPr>
      </w:pPr>
      <w:r>
        <w:rPr>
          <w:rFonts w:ascii="Tahoma" w:hAnsi="Tahoma" w:cs="Tahoma"/>
          <w:color w:val="000000"/>
          <w:sz w:val="20"/>
          <w:szCs w:val="20"/>
          <w:shd w:val="clear" w:color="auto" w:fill="FFFFFF"/>
        </w:rPr>
        <w:t>O udelení bankového povolenia rozhoduje NBS v niektorých prípadoch po dohode s ministerstvom financií SR.</w:t>
      </w:r>
      <w:r>
        <w:rPr>
          <w:rFonts w:ascii="Tahoma" w:hAnsi="Tahoma" w:cs="Tahoma"/>
          <w:color w:val="000000"/>
          <w:sz w:val="20"/>
          <w:szCs w:val="20"/>
        </w:rPr>
        <w:br/>
      </w:r>
      <w:r>
        <w:rPr>
          <w:rFonts w:ascii="Tahoma" w:hAnsi="Tahoma" w:cs="Tahoma"/>
          <w:color w:val="000000"/>
          <w:sz w:val="20"/>
          <w:szCs w:val="20"/>
          <w:shd w:val="clear" w:color="auto" w:fill="FFFFFF"/>
        </w:rPr>
        <w:t>Právnu úpravu obch. bánk obsahuje </w:t>
      </w:r>
      <w:r>
        <w:rPr>
          <w:rFonts w:ascii="Tahoma" w:hAnsi="Tahoma" w:cs="Tahoma"/>
          <w:color w:val="000000"/>
          <w:sz w:val="20"/>
          <w:szCs w:val="20"/>
          <w:u w:val="single"/>
          <w:shd w:val="clear" w:color="auto" w:fill="FFFFFF"/>
        </w:rPr>
        <w:t>Zákon o bankách č. 483/2001 Z. z.</w:t>
      </w:r>
      <w:r>
        <w:rPr>
          <w:rFonts w:ascii="Tahoma" w:hAnsi="Tahoma" w:cs="Tahoma"/>
          <w:color w:val="000000"/>
          <w:sz w:val="20"/>
          <w:szCs w:val="20"/>
          <w:shd w:val="clear" w:color="auto" w:fill="FFFFFF"/>
        </w:rPr>
        <w:t> v znení neskorších predpisov.</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u w:val="single"/>
          <w:shd w:val="clear" w:color="auto" w:fill="FFFFFF"/>
        </w:rPr>
        <w:t>Základné činnosti banky:</w:t>
      </w:r>
      <w:r>
        <w:rPr>
          <w:rFonts w:ascii="Tahoma" w:hAnsi="Tahoma" w:cs="Tahoma"/>
          <w:color w:val="000000"/>
          <w:sz w:val="20"/>
          <w:szCs w:val="20"/>
        </w:rPr>
        <w:br/>
      </w:r>
      <w:r>
        <w:rPr>
          <w:rFonts w:ascii="Tahoma" w:hAnsi="Tahoma" w:cs="Tahoma"/>
          <w:color w:val="000000"/>
          <w:sz w:val="20"/>
          <w:szCs w:val="20"/>
          <w:shd w:val="clear" w:color="auto" w:fill="FFFFFF"/>
        </w:rPr>
        <w:t>a) poskytovanie úverov</w:t>
      </w:r>
      <w:r>
        <w:rPr>
          <w:rFonts w:ascii="Tahoma" w:hAnsi="Tahoma" w:cs="Tahoma"/>
          <w:color w:val="000000"/>
          <w:sz w:val="20"/>
          <w:szCs w:val="20"/>
        </w:rPr>
        <w:br/>
      </w:r>
      <w:r>
        <w:rPr>
          <w:rFonts w:ascii="Tahoma" w:hAnsi="Tahoma" w:cs="Tahoma"/>
          <w:color w:val="000000"/>
          <w:sz w:val="20"/>
          <w:szCs w:val="20"/>
          <w:shd w:val="clear" w:color="auto" w:fill="FFFFFF"/>
        </w:rPr>
        <w:t>b) prijímanie vkladov</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u w:val="single"/>
          <w:shd w:val="clear" w:color="auto" w:fill="FFFFFF"/>
        </w:rPr>
        <w:t>Vklad /depozit/ </w:t>
      </w:r>
      <w:r>
        <w:rPr>
          <w:rFonts w:ascii="Tahoma" w:hAnsi="Tahoma" w:cs="Tahoma"/>
          <w:color w:val="000000"/>
          <w:sz w:val="20"/>
          <w:szCs w:val="20"/>
          <w:shd w:val="clear" w:color="auto" w:fill="FFFFFF"/>
        </w:rPr>
        <w:t>- je peňažná suma kt. vkladateľ za určitú náhradu (úrok) zapožičia banke,</w:t>
      </w:r>
      <w:r>
        <w:rPr>
          <w:rFonts w:ascii="Tahoma" w:hAnsi="Tahoma" w:cs="Tahoma"/>
          <w:color w:val="000000"/>
          <w:sz w:val="20"/>
          <w:szCs w:val="20"/>
        </w:rPr>
        <w:br/>
      </w:r>
      <w:r>
        <w:rPr>
          <w:rFonts w:ascii="Tahoma" w:hAnsi="Tahoma" w:cs="Tahoma"/>
          <w:color w:val="000000"/>
          <w:sz w:val="20"/>
          <w:szCs w:val="20"/>
          <w:shd w:val="clear" w:color="auto" w:fill="FFFFFF"/>
        </w:rPr>
        <w:t>- vklady vrátane úrokov predstavujú záväzok banky voči vkladateľovi,</w:t>
      </w:r>
      <w:r>
        <w:rPr>
          <w:rFonts w:ascii="Tahoma" w:hAnsi="Tahoma" w:cs="Tahoma"/>
          <w:color w:val="000000"/>
          <w:sz w:val="20"/>
          <w:szCs w:val="20"/>
        </w:rPr>
        <w:br/>
      </w:r>
      <w:r>
        <w:rPr>
          <w:rFonts w:ascii="Tahoma" w:hAnsi="Tahoma" w:cs="Tahoma"/>
          <w:color w:val="000000"/>
          <w:sz w:val="20"/>
          <w:szCs w:val="20"/>
          <w:shd w:val="clear" w:color="auto" w:fill="FFFFFF"/>
        </w:rPr>
        <w:t>- úrok je v tomto prípade pre banku nákladom.</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u w:val="single"/>
          <w:shd w:val="clear" w:color="auto" w:fill="FFFFFF"/>
        </w:rPr>
        <w:t>Úver</w:t>
      </w:r>
      <w:r>
        <w:rPr>
          <w:rFonts w:ascii="Tahoma" w:hAnsi="Tahoma" w:cs="Tahoma"/>
          <w:color w:val="000000"/>
          <w:sz w:val="20"/>
          <w:szCs w:val="20"/>
          <w:shd w:val="clear" w:color="auto" w:fill="FFFFFF"/>
        </w:rPr>
        <w:t> – je dočasné poskytnutie peňažných prostriedkov za určitú náhradu (úrok),</w:t>
      </w:r>
      <w:r>
        <w:rPr>
          <w:rFonts w:ascii="Tahoma" w:hAnsi="Tahoma" w:cs="Tahoma"/>
          <w:color w:val="000000"/>
          <w:sz w:val="20"/>
          <w:szCs w:val="20"/>
        </w:rPr>
        <w:br/>
      </w:r>
      <w:r>
        <w:rPr>
          <w:rFonts w:ascii="Tahoma" w:hAnsi="Tahoma" w:cs="Tahoma"/>
          <w:color w:val="000000"/>
          <w:sz w:val="20"/>
          <w:szCs w:val="20"/>
          <w:shd w:val="clear" w:color="auto" w:fill="FFFFFF"/>
        </w:rPr>
        <w:t>- predstavuje záväzok dlžníka – klienta banky voči banke, zaplatiť dlh vrátane dohodnutého úroku,</w:t>
      </w:r>
      <w:r>
        <w:rPr>
          <w:rFonts w:ascii="Tahoma" w:hAnsi="Tahoma" w:cs="Tahoma"/>
          <w:color w:val="000000"/>
          <w:sz w:val="20"/>
          <w:szCs w:val="20"/>
        </w:rPr>
        <w:br/>
      </w:r>
      <w:r>
        <w:rPr>
          <w:rFonts w:ascii="Tahoma" w:hAnsi="Tahoma" w:cs="Tahoma"/>
          <w:color w:val="000000"/>
          <w:sz w:val="20"/>
          <w:szCs w:val="20"/>
          <w:shd w:val="clear" w:color="auto" w:fill="FFFFFF"/>
        </w:rPr>
        <w:t>- úrok je v tomto prípade pre banku výnosom.</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u w:val="single"/>
          <w:shd w:val="clear" w:color="auto" w:fill="FFFFFF"/>
        </w:rPr>
        <w:t>Ďalšie činnosti:</w:t>
      </w:r>
      <w:r>
        <w:rPr>
          <w:rFonts w:ascii="Tahoma" w:hAnsi="Tahoma" w:cs="Tahoma"/>
          <w:color w:val="000000"/>
          <w:sz w:val="20"/>
          <w:szCs w:val="20"/>
        </w:rPr>
        <w:br/>
      </w:r>
      <w:r>
        <w:rPr>
          <w:rFonts w:ascii="Tahoma" w:hAnsi="Tahoma" w:cs="Tahoma"/>
          <w:color w:val="000000"/>
          <w:sz w:val="20"/>
          <w:szCs w:val="20"/>
          <w:shd w:val="clear" w:color="auto" w:fill="FFFFFF"/>
        </w:rPr>
        <w:t>a) platobný styk a zúčtovanie,</w:t>
      </w:r>
      <w:r>
        <w:rPr>
          <w:rFonts w:ascii="Tahoma" w:hAnsi="Tahoma" w:cs="Tahoma"/>
          <w:color w:val="000000"/>
          <w:sz w:val="20"/>
          <w:szCs w:val="20"/>
        </w:rPr>
        <w:br/>
      </w:r>
      <w:r>
        <w:rPr>
          <w:rFonts w:ascii="Tahoma" w:hAnsi="Tahoma" w:cs="Tahoma"/>
          <w:color w:val="000000"/>
          <w:sz w:val="20"/>
          <w:szCs w:val="20"/>
          <w:shd w:val="clear" w:color="auto" w:fill="FFFFFF"/>
        </w:rPr>
        <w:t>b) investovanie do cenných papierov na vlastný účet,</w:t>
      </w:r>
      <w:r>
        <w:rPr>
          <w:rFonts w:ascii="Tahoma" w:hAnsi="Tahoma" w:cs="Tahoma"/>
          <w:color w:val="000000"/>
          <w:sz w:val="20"/>
          <w:szCs w:val="20"/>
        </w:rPr>
        <w:br/>
      </w:r>
      <w:r>
        <w:rPr>
          <w:rFonts w:ascii="Tahoma" w:hAnsi="Tahoma" w:cs="Tahoma"/>
          <w:color w:val="000000"/>
          <w:sz w:val="20"/>
          <w:szCs w:val="20"/>
          <w:shd w:val="clear" w:color="auto" w:fill="FFFFFF"/>
        </w:rPr>
        <w:t>c) obchodovanie na vlastný účet al. účet klienta s finančnými nástrojmi peňažného a kapitálového trhu,</w:t>
      </w:r>
      <w:r>
        <w:rPr>
          <w:rFonts w:ascii="Tahoma" w:hAnsi="Tahoma" w:cs="Tahoma"/>
          <w:color w:val="000000"/>
          <w:sz w:val="20"/>
          <w:szCs w:val="20"/>
        </w:rPr>
        <w:br/>
      </w:r>
      <w:r>
        <w:rPr>
          <w:rFonts w:ascii="Tahoma" w:hAnsi="Tahoma" w:cs="Tahoma"/>
          <w:color w:val="000000"/>
          <w:sz w:val="20"/>
          <w:szCs w:val="20"/>
          <w:shd w:val="clear" w:color="auto" w:fill="FFFFFF"/>
        </w:rPr>
        <w:t>d) zmenárenská činnosť,</w:t>
      </w:r>
      <w:r>
        <w:rPr>
          <w:rFonts w:ascii="Tahoma" w:hAnsi="Tahoma" w:cs="Tahoma"/>
          <w:color w:val="000000"/>
          <w:sz w:val="20"/>
          <w:szCs w:val="20"/>
        </w:rPr>
        <w:br/>
      </w:r>
      <w:r>
        <w:rPr>
          <w:rFonts w:ascii="Tahoma" w:hAnsi="Tahoma" w:cs="Tahoma"/>
          <w:color w:val="000000"/>
          <w:sz w:val="20"/>
          <w:szCs w:val="20"/>
          <w:shd w:val="clear" w:color="auto" w:fill="FFFFFF"/>
        </w:rPr>
        <w:t>e) vydávanie a správa platobných prostriedkov – platobné karty, cestovné šeky,</w:t>
      </w:r>
      <w:r>
        <w:rPr>
          <w:rFonts w:ascii="Tahoma" w:hAnsi="Tahoma" w:cs="Tahoma"/>
          <w:color w:val="000000"/>
          <w:sz w:val="20"/>
          <w:szCs w:val="20"/>
        </w:rPr>
        <w:br/>
      </w:r>
      <w:r>
        <w:rPr>
          <w:rFonts w:ascii="Tahoma" w:hAnsi="Tahoma" w:cs="Tahoma"/>
          <w:color w:val="000000"/>
          <w:sz w:val="20"/>
          <w:szCs w:val="20"/>
          <w:shd w:val="clear" w:color="auto" w:fill="FFFFFF"/>
        </w:rPr>
        <w:t>f) finančný lízing,</w:t>
      </w:r>
      <w:r>
        <w:rPr>
          <w:rFonts w:ascii="Tahoma" w:hAnsi="Tahoma" w:cs="Tahoma"/>
          <w:color w:val="000000"/>
          <w:sz w:val="20"/>
          <w:szCs w:val="20"/>
        </w:rPr>
        <w:br/>
      </w:r>
      <w:r>
        <w:rPr>
          <w:rFonts w:ascii="Tahoma" w:hAnsi="Tahoma" w:cs="Tahoma"/>
          <w:color w:val="000000"/>
          <w:sz w:val="20"/>
          <w:szCs w:val="20"/>
          <w:shd w:val="clear" w:color="auto" w:fill="FFFFFF"/>
        </w:rPr>
        <w:t>g) poradenské služby,</w:t>
      </w:r>
      <w:r>
        <w:rPr>
          <w:rFonts w:ascii="Tahoma" w:hAnsi="Tahoma" w:cs="Tahoma"/>
          <w:color w:val="000000"/>
          <w:sz w:val="20"/>
          <w:szCs w:val="20"/>
        </w:rPr>
        <w:br/>
      </w:r>
      <w:r>
        <w:rPr>
          <w:rFonts w:ascii="Tahoma" w:hAnsi="Tahoma" w:cs="Tahoma"/>
          <w:color w:val="000000"/>
          <w:sz w:val="20"/>
          <w:szCs w:val="20"/>
          <w:shd w:val="clear" w:color="auto" w:fill="FFFFFF"/>
        </w:rPr>
        <w:t>h) vykonávanie hypotekárnych obchodov,</w:t>
      </w:r>
      <w:r>
        <w:rPr>
          <w:rFonts w:ascii="Tahoma" w:hAnsi="Tahoma" w:cs="Tahoma"/>
          <w:color w:val="000000"/>
          <w:sz w:val="20"/>
          <w:szCs w:val="20"/>
        </w:rPr>
        <w:br/>
      </w:r>
      <w:r>
        <w:rPr>
          <w:rFonts w:ascii="Tahoma" w:hAnsi="Tahoma" w:cs="Tahoma"/>
          <w:color w:val="000000"/>
          <w:sz w:val="20"/>
          <w:szCs w:val="20"/>
          <w:shd w:val="clear" w:color="auto" w:fill="FFFFFF"/>
        </w:rPr>
        <w:t>i) poskytovanie záruk a otváranie a potvrdzovanie akreditívov,</w:t>
      </w:r>
      <w:r>
        <w:rPr>
          <w:rFonts w:ascii="Tahoma" w:hAnsi="Tahoma" w:cs="Tahoma"/>
          <w:color w:val="000000"/>
          <w:sz w:val="20"/>
          <w:szCs w:val="20"/>
        </w:rPr>
        <w:br/>
      </w:r>
      <w:r>
        <w:rPr>
          <w:rFonts w:ascii="Tahoma" w:hAnsi="Tahoma" w:cs="Tahoma"/>
          <w:color w:val="000000"/>
          <w:sz w:val="20"/>
          <w:szCs w:val="20"/>
          <w:shd w:val="clear" w:color="auto" w:fill="FFFFFF"/>
        </w:rPr>
        <w:t>j) vydávanie cenných papierov,</w:t>
      </w:r>
      <w:r>
        <w:rPr>
          <w:rFonts w:ascii="Tahoma" w:hAnsi="Tahoma" w:cs="Tahoma"/>
          <w:color w:val="000000"/>
          <w:sz w:val="20"/>
          <w:szCs w:val="20"/>
        </w:rPr>
        <w:br/>
      </w:r>
      <w:r>
        <w:rPr>
          <w:rFonts w:ascii="Tahoma" w:hAnsi="Tahoma" w:cs="Tahoma"/>
          <w:color w:val="000000"/>
          <w:sz w:val="20"/>
          <w:szCs w:val="20"/>
          <w:shd w:val="clear" w:color="auto" w:fill="FFFFFF"/>
        </w:rPr>
        <w:t>k) uloženie CP a vecí,</w:t>
      </w:r>
      <w:r>
        <w:rPr>
          <w:rFonts w:ascii="Tahoma" w:hAnsi="Tahoma" w:cs="Tahoma"/>
          <w:color w:val="000000"/>
          <w:sz w:val="20"/>
          <w:szCs w:val="20"/>
        </w:rPr>
        <w:br/>
      </w:r>
      <w:r>
        <w:rPr>
          <w:rFonts w:ascii="Tahoma" w:hAnsi="Tahoma" w:cs="Tahoma"/>
          <w:color w:val="000000"/>
          <w:sz w:val="20"/>
          <w:szCs w:val="20"/>
          <w:shd w:val="clear" w:color="auto" w:fill="FFFFFF"/>
        </w:rPr>
        <w:t>l) prenájom bezpečnostných schránok.</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u w:val="single"/>
          <w:shd w:val="clear" w:color="auto" w:fill="FFFFFF"/>
        </w:rPr>
        <w:t>Nútená správa</w:t>
      </w:r>
      <w:r>
        <w:rPr>
          <w:rFonts w:ascii="Tahoma" w:hAnsi="Tahoma" w:cs="Tahoma"/>
          <w:color w:val="000000"/>
          <w:sz w:val="20"/>
          <w:szCs w:val="20"/>
          <w:shd w:val="clear" w:color="auto" w:fill="FFFFFF"/>
        </w:rPr>
        <w:t> – opatrenia NBS pri zistení závažných nedostatkov v činnosti obchodných bánk pričom:</w:t>
      </w:r>
      <w:r>
        <w:rPr>
          <w:rFonts w:ascii="Tahoma" w:hAnsi="Tahoma" w:cs="Tahoma"/>
          <w:color w:val="000000"/>
          <w:sz w:val="20"/>
          <w:szCs w:val="20"/>
        </w:rPr>
        <w:br/>
      </w:r>
      <w:r>
        <w:rPr>
          <w:rFonts w:ascii="Tahoma" w:hAnsi="Tahoma" w:cs="Tahoma"/>
          <w:color w:val="000000"/>
          <w:sz w:val="20"/>
          <w:szCs w:val="20"/>
          <w:shd w:val="clear" w:color="auto" w:fill="FFFFFF"/>
        </w:rPr>
        <w:t>- sa pozastavuje výkon funkcií všetkých orgánov banky,</w:t>
      </w:r>
      <w:r>
        <w:rPr>
          <w:rFonts w:ascii="Tahoma" w:hAnsi="Tahoma" w:cs="Tahoma"/>
          <w:color w:val="000000"/>
          <w:sz w:val="20"/>
          <w:szCs w:val="20"/>
        </w:rPr>
        <w:br/>
      </w:r>
      <w:r>
        <w:rPr>
          <w:rFonts w:ascii="Tahoma" w:hAnsi="Tahoma" w:cs="Tahoma"/>
          <w:color w:val="000000"/>
          <w:sz w:val="20"/>
          <w:szCs w:val="20"/>
          <w:shd w:val="clear" w:color="auto" w:fill="FFFFFF"/>
        </w:rPr>
        <w:t>- pôsobnosť štatutárneho orgánu – predstavenstva a dozornej rady prechádza na správcu ktorého vymenúva a odvoláva NBS,</w:t>
      </w:r>
      <w:r>
        <w:rPr>
          <w:rFonts w:ascii="Tahoma" w:hAnsi="Tahoma" w:cs="Tahoma"/>
          <w:color w:val="000000"/>
          <w:sz w:val="20"/>
          <w:szCs w:val="20"/>
        </w:rPr>
        <w:br/>
      </w:r>
      <w:r>
        <w:rPr>
          <w:rFonts w:ascii="Tahoma" w:hAnsi="Tahoma" w:cs="Tahoma"/>
          <w:color w:val="000000"/>
          <w:sz w:val="20"/>
          <w:szCs w:val="20"/>
          <w:shd w:val="clear" w:color="auto" w:fill="FFFFFF"/>
        </w:rPr>
        <w:t>- zapisuje sa do Obchodného registra,</w:t>
      </w:r>
      <w:r>
        <w:rPr>
          <w:rFonts w:ascii="Tahoma" w:hAnsi="Tahoma" w:cs="Tahoma"/>
          <w:color w:val="000000"/>
          <w:sz w:val="20"/>
          <w:szCs w:val="20"/>
        </w:rPr>
        <w:br/>
      </w:r>
      <w:r>
        <w:rPr>
          <w:rFonts w:ascii="Tahoma" w:hAnsi="Tahoma" w:cs="Tahoma"/>
          <w:color w:val="000000"/>
          <w:sz w:val="20"/>
          <w:szCs w:val="20"/>
          <w:shd w:val="clear" w:color="auto" w:fill="FFFFFF"/>
        </w:rPr>
        <w:t>Pri pretrvávaní nedostatkov NBS po prerokovaní s ministerstvom financií SR odoberie banke povolenie na výkon bankových činností.</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Pr>
          <w:rStyle w:val="Siln"/>
          <w:rFonts w:ascii="Tahoma" w:hAnsi="Tahoma" w:cs="Tahoma"/>
          <w:color w:val="000000"/>
          <w:sz w:val="20"/>
          <w:szCs w:val="20"/>
          <w:u w:val="single"/>
          <w:shd w:val="clear" w:color="auto" w:fill="FFFFFF"/>
        </w:rPr>
        <w:t>Organizácia a riadenie banky</w:t>
      </w:r>
      <w:r>
        <w:rPr>
          <w:rFonts w:ascii="Tahoma" w:hAnsi="Tahoma" w:cs="Tahoma"/>
          <w:color w:val="000000"/>
          <w:sz w:val="20"/>
          <w:szCs w:val="20"/>
        </w:rPr>
        <w:br/>
      </w:r>
      <w:r>
        <w:rPr>
          <w:rFonts w:ascii="Tahoma" w:hAnsi="Tahoma" w:cs="Tahoma"/>
          <w:color w:val="000000"/>
          <w:sz w:val="20"/>
          <w:szCs w:val="20"/>
          <w:shd w:val="clear" w:color="auto" w:fill="FFFFFF"/>
        </w:rPr>
        <w:t>Základné imanie obch. banky je 165 970 tis. EUR.</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Pr>
          <w:rStyle w:val="Siln"/>
          <w:rFonts w:ascii="Tahoma" w:hAnsi="Tahoma" w:cs="Tahoma"/>
          <w:color w:val="000000"/>
          <w:sz w:val="20"/>
          <w:szCs w:val="20"/>
          <w:shd w:val="clear" w:color="auto" w:fill="FFFFFF"/>
        </w:rPr>
        <w:t>Štatutárny orgán</w:t>
      </w:r>
      <w:r>
        <w:rPr>
          <w:rFonts w:ascii="Tahoma" w:hAnsi="Tahoma" w:cs="Tahoma"/>
          <w:color w:val="000000"/>
          <w:sz w:val="20"/>
          <w:szCs w:val="20"/>
          <w:shd w:val="clear" w:color="auto" w:fill="FFFFFF"/>
        </w:rPr>
        <w:t> – </w:t>
      </w:r>
      <w:r>
        <w:rPr>
          <w:rFonts w:ascii="Tahoma" w:hAnsi="Tahoma" w:cs="Tahoma"/>
          <w:color w:val="000000"/>
          <w:sz w:val="20"/>
          <w:szCs w:val="20"/>
          <w:u w:val="single"/>
          <w:shd w:val="clear" w:color="auto" w:fill="FFFFFF"/>
        </w:rPr>
        <w:t>predstavenstvo</w:t>
      </w:r>
      <w:r>
        <w:rPr>
          <w:rFonts w:ascii="Tahoma" w:hAnsi="Tahoma" w:cs="Tahoma"/>
          <w:color w:val="000000"/>
          <w:sz w:val="20"/>
          <w:szCs w:val="20"/>
          <w:shd w:val="clear" w:color="auto" w:fill="FFFFFF"/>
        </w:rPr>
        <w:t>. Ďalší orgán je </w:t>
      </w:r>
      <w:r>
        <w:rPr>
          <w:rFonts w:ascii="Tahoma" w:hAnsi="Tahoma" w:cs="Tahoma"/>
          <w:color w:val="000000"/>
          <w:sz w:val="20"/>
          <w:szCs w:val="20"/>
          <w:u w:val="single"/>
          <w:shd w:val="clear" w:color="auto" w:fill="FFFFFF"/>
        </w:rPr>
        <w:t>dozorná rada</w:t>
      </w:r>
      <w:r>
        <w:rPr>
          <w:rFonts w:ascii="Tahoma" w:hAnsi="Tahoma" w:cs="Tahoma"/>
          <w:color w:val="000000"/>
          <w:sz w:val="20"/>
          <w:szCs w:val="20"/>
          <w:shd w:val="clear" w:color="auto" w:fill="FFFFFF"/>
        </w:rPr>
        <w:t>. Musia mať najmenej 3 členov. Členom predstavenstva nemôže byť PO ani FO kt. je členom predstavenstva inej PO kt. je podnikateľom. Člen dozornej rady nemôže byť členom štatutárneho orgánu ani zamestnancom tej istej banky ani inej banky. Cieľom týchto požiadaviek je znemožniť interpersonálne prepojenie medzi bankou a podnikateľskými subjektmi.</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p>
    <w:p w:rsidR="00E713E1" w:rsidRDefault="00E713E1" w:rsidP="00E713E1">
      <w:pPr>
        <w:spacing w:after="0" w:line="240" w:lineRule="auto"/>
        <w:rPr>
          <w:rStyle w:val="Siln"/>
          <w:rFonts w:ascii="Tahoma" w:hAnsi="Tahoma" w:cs="Tahoma"/>
          <w:color w:val="000000"/>
          <w:sz w:val="20"/>
          <w:szCs w:val="20"/>
          <w:u w:val="single"/>
          <w:shd w:val="clear" w:color="auto" w:fill="FFFFFF"/>
        </w:rPr>
      </w:pPr>
    </w:p>
    <w:p w:rsidR="00E713E1" w:rsidRDefault="00E713E1" w:rsidP="00E713E1">
      <w:pPr>
        <w:spacing w:after="0" w:line="240" w:lineRule="auto"/>
        <w:rPr>
          <w:rStyle w:val="Siln"/>
          <w:rFonts w:ascii="Tahoma" w:hAnsi="Tahoma" w:cs="Tahoma"/>
          <w:color w:val="000000"/>
          <w:sz w:val="20"/>
          <w:szCs w:val="20"/>
          <w:u w:val="single"/>
          <w:shd w:val="clear" w:color="auto" w:fill="FFFFFF"/>
        </w:rPr>
      </w:pPr>
    </w:p>
    <w:p w:rsidR="00E713E1" w:rsidRDefault="00E713E1" w:rsidP="00E713E1">
      <w:pPr>
        <w:spacing w:after="0" w:line="240" w:lineRule="auto"/>
        <w:rPr>
          <w:rStyle w:val="Siln"/>
          <w:rFonts w:ascii="Tahoma" w:hAnsi="Tahoma" w:cs="Tahoma"/>
          <w:color w:val="000000"/>
          <w:sz w:val="20"/>
          <w:szCs w:val="20"/>
          <w:u w:val="single"/>
          <w:shd w:val="clear" w:color="auto" w:fill="FFFFFF"/>
        </w:rPr>
      </w:pPr>
    </w:p>
    <w:p w:rsidR="00E713E1" w:rsidRDefault="00E713E1" w:rsidP="00E713E1">
      <w:pPr>
        <w:spacing w:after="0" w:line="240" w:lineRule="auto"/>
        <w:rPr>
          <w:rStyle w:val="Siln"/>
          <w:rFonts w:ascii="Tahoma" w:hAnsi="Tahoma" w:cs="Tahoma"/>
          <w:color w:val="000000"/>
          <w:sz w:val="20"/>
          <w:szCs w:val="20"/>
          <w:u w:val="single"/>
          <w:shd w:val="clear" w:color="auto" w:fill="FFFFFF"/>
        </w:rPr>
      </w:pPr>
    </w:p>
    <w:p w:rsidR="00E713E1" w:rsidRDefault="00E713E1" w:rsidP="00E713E1">
      <w:pPr>
        <w:spacing w:after="0" w:line="240" w:lineRule="auto"/>
        <w:rPr>
          <w:rStyle w:val="Siln"/>
          <w:rFonts w:ascii="Tahoma" w:hAnsi="Tahoma" w:cs="Tahoma"/>
          <w:color w:val="000000"/>
          <w:sz w:val="20"/>
          <w:szCs w:val="20"/>
          <w:u w:val="single"/>
          <w:shd w:val="clear" w:color="auto" w:fill="FFFFFF"/>
        </w:rPr>
      </w:pPr>
    </w:p>
    <w:p w:rsidR="00E713E1" w:rsidRDefault="00E713E1" w:rsidP="00E713E1">
      <w:pPr>
        <w:spacing w:after="0" w:line="240" w:lineRule="auto"/>
        <w:rPr>
          <w:rStyle w:val="Siln"/>
          <w:rFonts w:ascii="Tahoma" w:hAnsi="Tahoma" w:cs="Tahoma"/>
          <w:color w:val="000000"/>
          <w:sz w:val="20"/>
          <w:szCs w:val="20"/>
          <w:u w:val="single"/>
          <w:shd w:val="clear" w:color="auto" w:fill="FFFFFF"/>
        </w:rPr>
      </w:pPr>
    </w:p>
    <w:p w:rsidR="00E713E1" w:rsidRPr="00AC45AF" w:rsidRDefault="00E713E1" w:rsidP="00E713E1">
      <w:pPr>
        <w:spacing w:after="0" w:line="240" w:lineRule="auto"/>
        <w:rPr>
          <w:b/>
          <w:sz w:val="28"/>
          <w:szCs w:val="28"/>
        </w:rPr>
      </w:pPr>
      <w:r>
        <w:rPr>
          <w:rStyle w:val="Siln"/>
          <w:rFonts w:ascii="Tahoma" w:hAnsi="Tahoma" w:cs="Tahoma"/>
          <w:color w:val="000000"/>
          <w:sz w:val="20"/>
          <w:szCs w:val="20"/>
          <w:u w:val="single"/>
          <w:shd w:val="clear" w:color="auto" w:fill="FFFFFF"/>
        </w:rPr>
        <w:lastRenderedPageBreak/>
        <w:t>Členenie obchodných bánk:</w:t>
      </w:r>
      <w:r>
        <w:rPr>
          <w:rFonts w:ascii="Tahoma" w:hAnsi="Tahoma" w:cs="Tahoma"/>
          <w:color w:val="000000"/>
          <w:sz w:val="20"/>
          <w:szCs w:val="20"/>
        </w:rPr>
        <w:br/>
      </w:r>
      <w:r w:rsidRPr="00E713E1">
        <w:rPr>
          <w:rFonts w:ascii="Tahoma" w:hAnsi="Tahoma" w:cs="Tahoma"/>
          <w:i/>
          <w:color w:val="000000"/>
          <w:sz w:val="20"/>
          <w:szCs w:val="20"/>
          <w:u w:val="single"/>
          <w:shd w:val="clear" w:color="auto" w:fill="FFFFFF"/>
        </w:rPr>
        <w:t>1. Podľa zamerania</w:t>
      </w:r>
      <w:r w:rsidRPr="00E713E1">
        <w:rPr>
          <w:rFonts w:ascii="Tahoma" w:hAnsi="Tahoma" w:cs="Tahoma"/>
          <w:i/>
          <w:color w:val="000000"/>
          <w:sz w:val="20"/>
          <w:szCs w:val="20"/>
          <w:u w:val="single"/>
        </w:rPr>
        <w:br/>
      </w:r>
      <w:r>
        <w:rPr>
          <w:rFonts w:ascii="Tahoma" w:hAnsi="Tahoma" w:cs="Tahoma"/>
          <w:color w:val="000000"/>
          <w:sz w:val="20"/>
          <w:szCs w:val="20"/>
          <w:shd w:val="clear" w:color="auto" w:fill="FFFFFF"/>
        </w:rPr>
        <w:t>a) univerzálne – vykonávajú všetky druhy bank. Činností</w:t>
      </w:r>
      <w:r>
        <w:rPr>
          <w:rFonts w:ascii="Tahoma" w:hAnsi="Tahoma" w:cs="Tahoma"/>
          <w:color w:val="000000"/>
          <w:sz w:val="20"/>
          <w:szCs w:val="20"/>
        </w:rPr>
        <w:br/>
      </w:r>
      <w:r>
        <w:rPr>
          <w:rFonts w:ascii="Tahoma" w:hAnsi="Tahoma" w:cs="Tahoma"/>
          <w:color w:val="000000"/>
          <w:sz w:val="20"/>
          <w:szCs w:val="20"/>
          <w:shd w:val="clear" w:color="auto" w:fill="FFFFFF"/>
        </w:rPr>
        <w:t>b) špecializované – zameriavajú sa na určitú geografickú oblasť, klientelu, okruh činností</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sidRPr="00E713E1">
        <w:rPr>
          <w:rFonts w:ascii="Tahoma" w:hAnsi="Tahoma" w:cs="Tahoma"/>
          <w:i/>
          <w:color w:val="000000"/>
          <w:sz w:val="20"/>
          <w:szCs w:val="20"/>
          <w:u w:val="single"/>
          <w:shd w:val="clear" w:color="auto" w:fill="FFFFFF"/>
        </w:rPr>
        <w:t>2. Podľa vlastníctva</w:t>
      </w:r>
      <w:r w:rsidRPr="00E713E1">
        <w:rPr>
          <w:rFonts w:ascii="Tahoma" w:hAnsi="Tahoma" w:cs="Tahoma"/>
          <w:i/>
          <w:color w:val="000000"/>
          <w:sz w:val="20"/>
          <w:szCs w:val="20"/>
          <w:u w:val="single"/>
        </w:rPr>
        <w:br/>
      </w:r>
      <w:r>
        <w:rPr>
          <w:rFonts w:ascii="Tahoma" w:hAnsi="Tahoma" w:cs="Tahoma"/>
          <w:color w:val="000000"/>
          <w:sz w:val="20"/>
          <w:szCs w:val="20"/>
          <w:shd w:val="clear" w:color="auto" w:fill="FFFFFF"/>
        </w:rPr>
        <w:t>a) verejné</w:t>
      </w:r>
      <w:r>
        <w:rPr>
          <w:rFonts w:ascii="Tahoma" w:hAnsi="Tahoma" w:cs="Tahoma"/>
          <w:color w:val="000000"/>
          <w:sz w:val="20"/>
          <w:szCs w:val="20"/>
        </w:rPr>
        <w:br/>
      </w:r>
      <w:r>
        <w:rPr>
          <w:rFonts w:ascii="Tahoma" w:hAnsi="Tahoma" w:cs="Tahoma"/>
          <w:color w:val="000000"/>
          <w:sz w:val="20"/>
          <w:szCs w:val="20"/>
          <w:shd w:val="clear" w:color="auto" w:fill="FFFFFF"/>
        </w:rPr>
        <w:t>b) súkromné</w:t>
      </w:r>
      <w:r>
        <w:rPr>
          <w:rFonts w:ascii="Tahoma" w:hAnsi="Tahoma" w:cs="Tahoma"/>
          <w:color w:val="000000"/>
          <w:sz w:val="20"/>
          <w:szCs w:val="20"/>
        </w:rPr>
        <w:br/>
      </w:r>
      <w:r>
        <w:rPr>
          <w:rFonts w:ascii="Tahoma" w:hAnsi="Tahoma" w:cs="Tahoma"/>
          <w:color w:val="000000"/>
          <w:sz w:val="20"/>
          <w:szCs w:val="20"/>
          <w:shd w:val="clear" w:color="auto" w:fill="FFFFFF"/>
        </w:rPr>
        <w:t>c) so zmiešaným vlastníctvom</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sidR="00AC45AF" w:rsidRPr="00AC45AF">
        <w:rPr>
          <w:b/>
          <w:sz w:val="28"/>
          <w:szCs w:val="28"/>
        </w:rPr>
        <w:t>Kontrolné otázky:</w:t>
      </w:r>
    </w:p>
    <w:p w:rsidR="00AC45AF" w:rsidRPr="00AC45AF" w:rsidRDefault="00AC45AF" w:rsidP="00E713E1">
      <w:pPr>
        <w:spacing w:after="0" w:line="240" w:lineRule="auto"/>
        <w:rPr>
          <w:sz w:val="28"/>
          <w:szCs w:val="28"/>
        </w:rPr>
      </w:pPr>
      <w:r w:rsidRPr="00AC45AF">
        <w:rPr>
          <w:sz w:val="28"/>
          <w:szCs w:val="28"/>
        </w:rPr>
        <w:t>1, Čo je to banka a aké sú jej základné činnosti?</w:t>
      </w:r>
    </w:p>
    <w:p w:rsidR="00AC45AF" w:rsidRPr="00AC45AF" w:rsidRDefault="00AC45AF" w:rsidP="00E713E1">
      <w:pPr>
        <w:spacing w:after="0" w:line="240" w:lineRule="auto"/>
        <w:rPr>
          <w:sz w:val="28"/>
          <w:szCs w:val="28"/>
        </w:rPr>
      </w:pPr>
      <w:r w:rsidRPr="00AC45AF">
        <w:rPr>
          <w:sz w:val="28"/>
          <w:szCs w:val="28"/>
        </w:rPr>
        <w:t>2, Čo je vklad a depozit?</w:t>
      </w:r>
    </w:p>
    <w:p w:rsidR="00AC45AF" w:rsidRPr="00AC45AF" w:rsidRDefault="00AC45AF" w:rsidP="00E713E1">
      <w:pPr>
        <w:spacing w:after="0" w:line="240" w:lineRule="auto"/>
        <w:rPr>
          <w:sz w:val="28"/>
          <w:szCs w:val="28"/>
        </w:rPr>
      </w:pPr>
      <w:r w:rsidRPr="00AC45AF">
        <w:rPr>
          <w:sz w:val="28"/>
          <w:szCs w:val="28"/>
        </w:rPr>
        <w:t>3, Aký je štatutárny orgán banky?</w:t>
      </w:r>
    </w:p>
    <w:p w:rsidR="00AC45AF" w:rsidRPr="00AC45AF" w:rsidRDefault="00AC45AF" w:rsidP="00E713E1">
      <w:pPr>
        <w:spacing w:after="0" w:line="240" w:lineRule="auto"/>
        <w:rPr>
          <w:sz w:val="28"/>
          <w:szCs w:val="28"/>
        </w:rPr>
      </w:pPr>
      <w:r w:rsidRPr="00AC45AF">
        <w:rPr>
          <w:sz w:val="28"/>
          <w:szCs w:val="28"/>
        </w:rPr>
        <w:t>4, Ako sa členia obchodné banky?</w:t>
      </w:r>
    </w:p>
    <w:p w:rsidR="00AC45AF" w:rsidRDefault="00AC45AF" w:rsidP="00E713E1">
      <w:pPr>
        <w:spacing w:after="0" w:line="240" w:lineRule="auto"/>
      </w:pPr>
    </w:p>
    <w:sectPr w:rsidR="00AC45AF" w:rsidSect="001F15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13E1"/>
    <w:rsid w:val="001F1571"/>
    <w:rsid w:val="003F1F93"/>
    <w:rsid w:val="00AC45AF"/>
    <w:rsid w:val="00E713E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157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713E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Adulinka</dc:creator>
  <cp:keywords/>
  <dc:description/>
  <cp:lastModifiedBy>Adulinka</cp:lastModifiedBy>
  <cp:revision>3</cp:revision>
  <dcterms:created xsi:type="dcterms:W3CDTF">2020-03-15T19:21:00Z</dcterms:created>
  <dcterms:modified xsi:type="dcterms:W3CDTF">2020-03-15T20:10:00Z</dcterms:modified>
</cp:coreProperties>
</file>